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w:t>
      </w:r>
      <w:r>
        <w:rPr>
          <w:rFonts w:hint="eastAsia" w:ascii="黑体" w:hAnsi="黑体" w:eastAsia="黑体" w:cs="宋体"/>
          <w:color w:val="000000"/>
          <w:kern w:val="0"/>
          <w:sz w:val="32"/>
          <w:szCs w:val="32"/>
          <w:lang w:eastAsia="zh-CN"/>
        </w:rPr>
        <w:t>部门概况</w:t>
      </w:r>
    </w:p>
    <w:p>
      <w:pPr>
        <w:keepNext w:val="0"/>
        <w:keepLines w:val="0"/>
        <w:pageBreakBefore w:val="0"/>
        <w:widowControl w:val="0"/>
        <w:kinsoku/>
        <w:wordWrap/>
        <w:overflowPunct/>
        <w:topLinePunct w:val="0"/>
        <w:autoSpaceDE/>
        <w:autoSpaceDN/>
        <w:bidi w:val="0"/>
        <w:spacing w:line="360" w:lineRule="auto"/>
        <w:ind w:left="0" w:leftChars="0" w:right="0" w:rightChars="0" w:firstLine="640" w:firstLineChars="200"/>
        <w:textAlignment w:val="auto"/>
        <w:rPr>
          <w:rFonts w:hint="eastAsia"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0"/>
        <w:rPr>
          <w:rFonts w:ascii="仿宋" w:hAnsi="仿宋" w:eastAsia="仿宋"/>
          <w:bCs/>
          <w:sz w:val="32"/>
          <w:szCs w:val="32"/>
        </w:rPr>
      </w:pPr>
      <w:r>
        <w:rPr>
          <w:rFonts w:hint="eastAsia" w:ascii="仿宋" w:hAnsi="仿宋" w:eastAsia="仿宋"/>
          <w:bCs/>
          <w:sz w:val="32"/>
          <w:szCs w:val="32"/>
        </w:rPr>
        <w:t>左家庄街道党工委、办事处设置下列6个内设机构</w:t>
      </w:r>
      <w:r>
        <w:rPr>
          <w:rFonts w:hint="eastAsia" w:ascii="仿宋" w:hAnsi="仿宋" w:eastAsia="仿宋"/>
          <w:bCs/>
          <w:sz w:val="32"/>
          <w:szCs w:val="32"/>
          <w:lang w:val="en-US" w:eastAsia="zh-CN"/>
        </w:rPr>
        <w:t>1个执法机构</w:t>
      </w:r>
      <w:r>
        <w:rPr>
          <w:rFonts w:hint="eastAsia" w:ascii="仿宋" w:hAnsi="仿宋" w:eastAsia="仿宋"/>
          <w:bCs/>
          <w:sz w:val="32"/>
          <w:szCs w:val="32"/>
        </w:rPr>
        <w:t>，分别为综合办公室、党群工作办公室、平安建设办公室(司法所)、城市管理办公室、社区建设办公室、民生保障办公室，执法机构为街道综合行政执法队</w:t>
      </w:r>
      <w:r>
        <w:rPr>
          <w:rFonts w:hint="eastAsia" w:ascii="仿宋" w:hAnsi="仿宋" w:eastAsia="仿宋"/>
          <w:bCs/>
          <w:sz w:val="32"/>
          <w:szCs w:val="32"/>
          <w:lang w:eastAsia="zh-CN"/>
        </w:rPr>
        <w:t>。</w:t>
      </w:r>
      <w:r>
        <w:rPr>
          <w:rFonts w:hint="eastAsia" w:ascii="仿宋" w:hAnsi="仿宋" w:eastAsia="仿宋"/>
          <w:bCs/>
          <w:sz w:val="32"/>
          <w:szCs w:val="32"/>
        </w:rPr>
        <w:t>所属</w:t>
      </w:r>
      <w:r>
        <w:rPr>
          <w:rFonts w:hint="eastAsia" w:ascii="仿宋" w:hAnsi="仿宋" w:eastAsia="仿宋"/>
          <w:bCs/>
          <w:sz w:val="32"/>
          <w:szCs w:val="32"/>
          <w:lang w:eastAsia="zh-CN"/>
        </w:rPr>
        <w:t>事业</w:t>
      </w:r>
      <w:r>
        <w:rPr>
          <w:rFonts w:hint="eastAsia" w:ascii="仿宋" w:hAnsi="仿宋" w:eastAsia="仿宋"/>
          <w:bCs/>
          <w:sz w:val="32"/>
          <w:szCs w:val="32"/>
        </w:rPr>
        <w:t>单位3个，分别为左家庄街道便民服务中心、左家庄街道市民活动中心和左家庄街道市民诉求处置中心。</w:t>
      </w:r>
      <w:r>
        <w:rPr>
          <w:rFonts w:hint="eastAsia" w:ascii="仿宋" w:hAnsi="仿宋" w:eastAsia="仿宋"/>
          <w:bCs/>
          <w:sz w:val="32"/>
          <w:szCs w:val="32"/>
          <w:lang w:eastAsia="zh-CN"/>
        </w:rPr>
        <w:t>另外，还包括</w:t>
      </w:r>
      <w:r>
        <w:rPr>
          <w:rFonts w:hint="eastAsia" w:ascii="仿宋" w:hAnsi="仿宋" w:eastAsia="仿宋"/>
          <w:sz w:val="32"/>
          <w:szCs w:val="32"/>
        </w:rPr>
        <w:t>13</w:t>
      </w:r>
      <w:r>
        <w:rPr>
          <w:rFonts w:ascii="仿宋" w:hAnsi="仿宋" w:eastAsia="仿宋"/>
          <w:sz w:val="32"/>
          <w:szCs w:val="32"/>
        </w:rPr>
        <w:t>个社区居委会</w:t>
      </w:r>
      <w:r>
        <w:rPr>
          <w:rFonts w:hint="eastAsia" w:ascii="仿宋" w:hAnsi="仿宋" w:eastAsia="仿宋"/>
          <w:sz w:val="32"/>
          <w:szCs w:val="32"/>
          <w:lang w:eastAsia="zh-CN"/>
        </w:rPr>
        <w:t>。</w:t>
      </w:r>
    </w:p>
    <w:p>
      <w:pPr>
        <w:spacing w:line="600" w:lineRule="exact"/>
        <w:ind w:firstLine="640" w:firstLineChars="200"/>
        <w:rPr>
          <w:rFonts w:ascii="楷体_GB2312" w:eastAsia="楷体_GB2312"/>
          <w:sz w:val="32"/>
          <w:szCs w:val="32"/>
        </w:rPr>
      </w:pPr>
      <w:bookmarkStart w:id="0" w:name="_GoBack"/>
      <w:bookmarkEnd w:id="0"/>
      <w:r>
        <w:rPr>
          <w:rFonts w:hint="eastAsia" w:ascii="楷体_GB2312" w:eastAsia="楷体_GB2312"/>
          <w:sz w:val="32"/>
          <w:szCs w:val="32"/>
        </w:rPr>
        <w:t>（二）部门整体绩效目标设立情况</w:t>
      </w:r>
    </w:p>
    <w:p>
      <w:pPr>
        <w:spacing w:line="600" w:lineRule="exact"/>
        <w:ind w:firstLine="640" w:firstLineChars="200"/>
        <w:rPr>
          <w:rFonts w:ascii="仿宋" w:hAnsi="仿宋" w:eastAsia="仿宋"/>
          <w:bCs/>
          <w:sz w:val="32"/>
          <w:szCs w:val="32"/>
        </w:rPr>
      </w:pPr>
      <w:r>
        <w:rPr>
          <w:rFonts w:hint="eastAsia" w:ascii="仿宋" w:hAnsi="仿宋" w:eastAsia="仿宋"/>
          <w:bCs/>
          <w:sz w:val="32"/>
          <w:szCs w:val="32"/>
        </w:rPr>
        <w:t>根据部门单位职能以及有关中长期发展规划，制定部门单位中长期绩效目标。在此基础上，按照年度重点工作任务和预算资金安排情况，明确部门单位年度绩效目标。同时经过部门单位的核心职能和年度目标任务应反复研究，横向和纵向对比，分析中长期绩效目标和年度绩效目标的可行性，整体绩效目标合理性较高。</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360" w:lineRule="auto"/>
        <w:ind w:firstLine="640" w:firstLineChars="200"/>
        <w:rPr>
          <w:rFonts w:ascii="仿宋" w:hAnsi="仿宋" w:eastAsia="仿宋"/>
          <w:bCs/>
          <w:sz w:val="32"/>
          <w:szCs w:val="32"/>
        </w:rPr>
      </w:pPr>
      <w:r>
        <w:rPr>
          <w:rFonts w:hint="eastAsia" w:ascii="仿宋" w:hAnsi="仿宋" w:eastAsia="仿宋"/>
          <w:sz w:val="32"/>
          <w:szCs w:val="32"/>
          <w:highlight w:val="none"/>
        </w:rPr>
        <w:t>左家庄街道办事处202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年度年初</w:t>
      </w:r>
      <w:r>
        <w:rPr>
          <w:rFonts w:hint="eastAsia" w:ascii="仿宋" w:hAnsi="仿宋" w:eastAsia="仿宋"/>
          <w:sz w:val="32"/>
          <w:szCs w:val="32"/>
          <w:highlight w:val="none"/>
          <w:lang w:eastAsia="zh-CN"/>
        </w:rPr>
        <w:t>基本支出</w:t>
      </w:r>
      <w:r>
        <w:rPr>
          <w:rFonts w:hint="eastAsia" w:ascii="仿宋" w:hAnsi="仿宋" w:eastAsia="仿宋"/>
          <w:sz w:val="32"/>
          <w:szCs w:val="32"/>
          <w:highlight w:val="none"/>
        </w:rPr>
        <w:t>预算，</w:t>
      </w:r>
      <w:r>
        <w:rPr>
          <w:rFonts w:hint="eastAsia" w:ascii="仿宋" w:hAnsi="仿宋" w:eastAsia="仿宋"/>
          <w:sz w:val="32"/>
          <w:szCs w:val="32"/>
          <w:highlight w:val="none"/>
          <w:lang w:eastAsia="zh-CN"/>
        </w:rPr>
        <w:t>项目支出预算共计</w:t>
      </w:r>
      <w:r>
        <w:rPr>
          <w:rFonts w:hint="eastAsia" w:ascii="仿宋" w:hAnsi="仿宋" w:eastAsia="仿宋"/>
          <w:sz w:val="32"/>
          <w:szCs w:val="32"/>
          <w:highlight w:val="none"/>
          <w:lang w:val="en-US" w:eastAsia="zh-CN"/>
        </w:rPr>
        <w:t>18574.36</w:t>
      </w:r>
      <w:r>
        <w:rPr>
          <w:rFonts w:hint="eastAsia" w:ascii="仿宋" w:hAnsi="仿宋" w:eastAsia="仿宋"/>
          <w:sz w:val="32"/>
          <w:szCs w:val="32"/>
          <w:highlight w:val="none"/>
          <w:lang w:eastAsia="zh-CN"/>
        </w:rPr>
        <w:t>万元，</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4685.93</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rPr>
        <w:t>项目支出</w:t>
      </w:r>
      <w:r>
        <w:rPr>
          <w:rFonts w:hint="eastAsia" w:ascii="仿宋" w:hAnsi="仿宋" w:eastAsia="仿宋"/>
          <w:sz w:val="32"/>
          <w:szCs w:val="32"/>
          <w:highlight w:val="none"/>
          <w:lang w:eastAsia="zh-CN"/>
        </w:rPr>
        <w:t>预算</w:t>
      </w:r>
      <w:r>
        <w:rPr>
          <w:rFonts w:hint="eastAsia" w:ascii="仿宋" w:hAnsi="仿宋" w:eastAsia="仿宋"/>
          <w:sz w:val="32"/>
          <w:szCs w:val="32"/>
          <w:highlight w:val="none"/>
          <w:lang w:val="en-US" w:eastAsia="zh-CN"/>
        </w:rPr>
        <w:t>13888.43</w:t>
      </w:r>
      <w:r>
        <w:rPr>
          <w:rFonts w:hint="eastAsia" w:ascii="仿宋" w:hAnsi="仿宋" w:eastAsia="仿宋"/>
          <w:sz w:val="32"/>
          <w:szCs w:val="32"/>
          <w:highlight w:val="none"/>
        </w:rPr>
        <w:t>万</w:t>
      </w:r>
      <w:r>
        <w:rPr>
          <w:rFonts w:hint="eastAsia" w:ascii="仿宋" w:hAnsi="仿宋" w:eastAsia="仿宋"/>
          <w:sz w:val="32"/>
          <w:szCs w:val="32"/>
          <w:highlight w:val="none"/>
          <w:lang w:eastAsia="zh-CN"/>
        </w:rPr>
        <w:t>元，</w:t>
      </w:r>
      <w:r>
        <w:rPr>
          <w:rFonts w:hint="eastAsia" w:ascii="仿宋" w:hAnsi="仿宋" w:eastAsia="仿宋"/>
          <w:bCs/>
          <w:sz w:val="32"/>
          <w:szCs w:val="32"/>
        </w:rPr>
        <w:t>截止202</w:t>
      </w:r>
      <w:r>
        <w:rPr>
          <w:rFonts w:hint="eastAsia" w:ascii="仿宋" w:hAnsi="仿宋" w:eastAsia="仿宋"/>
          <w:bCs/>
          <w:sz w:val="32"/>
          <w:szCs w:val="32"/>
          <w:lang w:val="en-US" w:eastAsia="zh-CN"/>
        </w:rPr>
        <w:t>4</w:t>
      </w:r>
      <w:r>
        <w:rPr>
          <w:rFonts w:hint="eastAsia" w:ascii="仿宋" w:hAnsi="仿宋" w:eastAsia="仿宋"/>
          <w:bCs/>
          <w:sz w:val="32"/>
          <w:szCs w:val="32"/>
        </w:rPr>
        <w:t>年12月底，预算执行率100%。</w:t>
      </w:r>
    </w:p>
    <w:p>
      <w:pPr>
        <w:spacing w:line="360" w:lineRule="auto"/>
        <w:ind w:firstLine="627" w:firstLineChars="196"/>
        <w:jc w:val="left"/>
        <w:rPr>
          <w:rFonts w:hint="eastAsia" w:ascii="仿宋" w:hAnsi="仿宋" w:eastAsia="仿宋"/>
          <w:b/>
          <w:bCs/>
          <w:sz w:val="32"/>
          <w:szCs w:val="32"/>
          <w:highlight w:val="none"/>
        </w:rPr>
      </w:pPr>
      <w:r>
        <w:rPr>
          <w:rFonts w:hint="eastAsia" w:ascii="仿宋" w:hAnsi="仿宋" w:eastAsia="仿宋"/>
          <w:sz w:val="32"/>
          <w:szCs w:val="32"/>
          <w:highlight w:val="none"/>
        </w:rPr>
        <w:t>区财政根据我单位上报用款计划下拨资金，我单位主管科室根据实际工作情况进行授权零余额支出。</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ind w:firstLine="640" w:firstLineChars="200"/>
        <w:rPr>
          <w:rFonts w:ascii="仿宋" w:hAnsi="仿宋" w:eastAsia="仿宋"/>
          <w:bCs/>
          <w:sz w:val="32"/>
          <w:szCs w:val="32"/>
        </w:rPr>
      </w:pPr>
      <w:r>
        <w:rPr>
          <w:rFonts w:hint="eastAsia" w:ascii="仿宋" w:hAnsi="仿宋" w:eastAsia="仿宋"/>
          <w:bCs/>
          <w:sz w:val="32"/>
          <w:szCs w:val="32"/>
        </w:rPr>
        <w:t>左家庄街道办事处的部门绩效目标是：1、疏解整治促提升专项行动工作。拆除违法建设、整治占道经营点、取缔无证无照餐饮单位、完成劳动保障监察。2、保障地区绿化保洁，创建城市优美环境。3、推进背街小巷环境整治提升工程。以管理建立长效机制，以优美大街、环境提升工程打造街区景观，以全要素小区形成社区品牌，以点带面，全面提升街区综合功能和环境品质。</w:t>
      </w:r>
    </w:p>
    <w:p>
      <w:pPr>
        <w:pStyle w:val="8"/>
        <w:numPr>
          <w:ilvl w:val="0"/>
          <w:numId w:val="1"/>
        </w:numPr>
        <w:spacing w:line="600" w:lineRule="exact"/>
        <w:ind w:firstLineChars="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产出数量</w:t>
      </w:r>
    </w:p>
    <w:p>
      <w:pPr>
        <w:ind w:firstLine="640" w:firstLineChars="200"/>
        <w:rPr>
          <w:rFonts w:ascii="仿宋" w:hAnsi="仿宋" w:eastAsia="仿宋"/>
          <w:bCs/>
          <w:sz w:val="32"/>
          <w:szCs w:val="32"/>
        </w:rPr>
      </w:pPr>
      <w:r>
        <w:rPr>
          <w:rFonts w:hint="eastAsia" w:ascii="仿宋" w:hAnsi="仿宋" w:eastAsia="仿宋"/>
          <w:bCs/>
          <w:sz w:val="32"/>
          <w:szCs w:val="32"/>
        </w:rPr>
        <w:t>以公益事业经费为例，保障辖区1</w:t>
      </w:r>
      <w:r>
        <w:rPr>
          <w:rFonts w:hint="eastAsia" w:ascii="仿宋" w:hAnsi="仿宋" w:eastAsia="仿宋"/>
          <w:bCs/>
          <w:sz w:val="32"/>
          <w:szCs w:val="32"/>
          <w:lang w:val="en-US" w:eastAsia="zh-CN"/>
        </w:rPr>
        <w:t>3</w:t>
      </w:r>
      <w:r>
        <w:rPr>
          <w:rFonts w:hint="eastAsia" w:ascii="仿宋" w:hAnsi="仿宋" w:eastAsia="仿宋"/>
          <w:bCs/>
          <w:sz w:val="32"/>
          <w:szCs w:val="32"/>
        </w:rPr>
        <w:t>个社区工作人员工资、公用支出，用于社区各方面的公益事业支出，保持社区机构年度内正常运转，吸引和带动社区居民参与各类公益活动和社区建设，提升群众幸福感。</w:t>
      </w:r>
    </w:p>
    <w:p>
      <w:pPr>
        <w:pStyle w:val="8"/>
        <w:numPr>
          <w:ilvl w:val="0"/>
          <w:numId w:val="1"/>
        </w:numPr>
        <w:spacing w:line="600" w:lineRule="exact"/>
        <w:ind w:firstLineChars="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质量</w:t>
      </w:r>
    </w:p>
    <w:p>
      <w:pPr>
        <w:ind w:firstLine="640" w:firstLineChars="200"/>
        <w:rPr>
          <w:rFonts w:ascii="仿宋" w:hAnsi="仿宋" w:eastAsia="仿宋"/>
          <w:bCs/>
          <w:sz w:val="32"/>
          <w:szCs w:val="32"/>
        </w:rPr>
      </w:pPr>
      <w:r>
        <w:rPr>
          <w:rFonts w:hint="eastAsia" w:ascii="仿宋" w:hAnsi="仿宋" w:eastAsia="仿宋"/>
          <w:bCs/>
          <w:sz w:val="32"/>
          <w:szCs w:val="32"/>
        </w:rPr>
        <w:t>以</w:t>
      </w:r>
      <w:r>
        <w:rPr>
          <w:rFonts w:hint="eastAsia" w:ascii="仿宋" w:hAnsi="仿宋" w:eastAsia="仿宋"/>
          <w:bCs/>
          <w:sz w:val="32"/>
          <w:szCs w:val="32"/>
          <w:lang w:eastAsia="zh-CN"/>
        </w:rPr>
        <w:t>基层党组织服务群众</w:t>
      </w:r>
      <w:r>
        <w:rPr>
          <w:rFonts w:hint="eastAsia" w:ascii="仿宋" w:hAnsi="仿宋" w:eastAsia="仿宋"/>
          <w:bCs/>
          <w:sz w:val="32"/>
          <w:szCs w:val="32"/>
        </w:rPr>
        <w:t>为例，</w:t>
      </w:r>
      <w:r>
        <w:rPr>
          <w:rFonts w:hint="eastAsia" w:ascii="仿宋" w:hAnsi="仿宋" w:eastAsia="仿宋"/>
          <w:bCs/>
          <w:sz w:val="32"/>
          <w:szCs w:val="32"/>
          <w:lang w:eastAsia="zh-CN"/>
        </w:rPr>
        <w:t>加强服务群众的意识和能力，保证基层治理要把服务群众、造福群众作为出发点和落脚点,立足群众迫切需要解决的问题和困难,提升社区建设水平，用心用情织出基层治理服务网</w:t>
      </w:r>
      <w:r>
        <w:rPr>
          <w:rFonts w:hint="eastAsia" w:ascii="仿宋" w:hAnsi="仿宋" w:eastAsia="仿宋"/>
          <w:bCs/>
          <w:sz w:val="32"/>
          <w:szCs w:val="32"/>
        </w:rPr>
        <w:t>。</w:t>
      </w:r>
    </w:p>
    <w:p>
      <w:pPr>
        <w:pStyle w:val="8"/>
        <w:numPr>
          <w:ilvl w:val="0"/>
          <w:numId w:val="1"/>
        </w:numPr>
        <w:spacing w:line="600" w:lineRule="exact"/>
        <w:ind w:firstLineChars="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进度</w:t>
      </w:r>
    </w:p>
    <w:p>
      <w:pPr>
        <w:spacing w:line="600" w:lineRule="exact"/>
        <w:ind w:firstLine="640" w:firstLineChars="200"/>
        <w:rPr>
          <w:rFonts w:ascii="仿宋" w:hAnsi="仿宋" w:eastAsia="仿宋"/>
          <w:bCs/>
          <w:sz w:val="32"/>
          <w:szCs w:val="32"/>
        </w:rPr>
      </w:pPr>
      <w:r>
        <w:rPr>
          <w:rFonts w:hint="eastAsia" w:ascii="仿宋" w:hAnsi="仿宋" w:eastAsia="仿宋"/>
          <w:bCs/>
          <w:sz w:val="32"/>
          <w:szCs w:val="32"/>
        </w:rPr>
        <w:t>以</w:t>
      </w:r>
      <w:r>
        <w:rPr>
          <w:rFonts w:hint="eastAsia" w:ascii="仿宋" w:hAnsi="仿宋" w:eastAsia="仿宋"/>
          <w:bCs/>
          <w:sz w:val="32"/>
          <w:szCs w:val="32"/>
          <w:lang w:eastAsia="zh-CN"/>
        </w:rPr>
        <w:t>基层公共安全工作经费</w:t>
      </w:r>
      <w:r>
        <w:rPr>
          <w:rFonts w:hint="eastAsia" w:ascii="仿宋" w:hAnsi="仿宋" w:eastAsia="仿宋"/>
          <w:bCs/>
          <w:sz w:val="32"/>
          <w:szCs w:val="32"/>
        </w:rPr>
        <w:t>为例，</w:t>
      </w:r>
      <w:r>
        <w:rPr>
          <w:rFonts w:hint="eastAsia" w:ascii="仿宋" w:hAnsi="仿宋" w:eastAsia="仿宋"/>
          <w:bCs/>
          <w:sz w:val="32"/>
          <w:szCs w:val="32"/>
          <w:lang w:eastAsia="zh-CN"/>
        </w:rPr>
        <w:t>合并了原有</w:t>
      </w:r>
      <w:r>
        <w:rPr>
          <w:rFonts w:hint="eastAsia" w:ascii="仿宋" w:hAnsi="仿宋" w:eastAsia="仿宋"/>
          <w:bCs/>
          <w:sz w:val="32"/>
          <w:szCs w:val="32"/>
        </w:rPr>
        <w:t>基层法制工作经费、安全生产执法经费、防范和处理邪教基础工作经费、民警驻社区经费，</w:t>
      </w:r>
      <w:r>
        <w:rPr>
          <w:rFonts w:hint="eastAsia" w:ascii="仿宋" w:hAnsi="仿宋" w:eastAsia="仿宋"/>
          <w:bCs/>
          <w:sz w:val="32"/>
          <w:szCs w:val="32"/>
          <w:lang w:eastAsia="zh-CN"/>
        </w:rPr>
        <w:t>按照工作进度和项目计划推进工作，同时</w:t>
      </w:r>
      <w:r>
        <w:rPr>
          <w:rFonts w:hint="eastAsia" w:ascii="仿宋" w:hAnsi="仿宋" w:eastAsia="仿宋"/>
          <w:bCs/>
          <w:sz w:val="32"/>
          <w:szCs w:val="32"/>
        </w:rPr>
        <w:t>保证</w:t>
      </w:r>
      <w:r>
        <w:rPr>
          <w:rFonts w:hint="eastAsia" w:ascii="仿宋" w:hAnsi="仿宋" w:eastAsia="仿宋"/>
          <w:bCs/>
          <w:sz w:val="32"/>
          <w:szCs w:val="32"/>
          <w:lang w:eastAsia="zh-CN"/>
        </w:rPr>
        <w:t>经费的合理支出，稳步推进公共安全相关工作。</w:t>
      </w:r>
    </w:p>
    <w:p>
      <w:pPr>
        <w:pStyle w:val="8"/>
        <w:numPr>
          <w:ilvl w:val="0"/>
          <w:numId w:val="1"/>
        </w:numPr>
        <w:spacing w:line="600" w:lineRule="exact"/>
        <w:ind w:firstLineChars="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spacing w:line="600" w:lineRule="exact"/>
        <w:ind w:firstLine="640" w:firstLineChars="200"/>
        <w:rPr>
          <w:rFonts w:ascii="仿宋" w:hAnsi="仿宋" w:eastAsia="仿宋"/>
          <w:bCs/>
          <w:sz w:val="32"/>
          <w:szCs w:val="32"/>
        </w:rPr>
      </w:pPr>
      <w:r>
        <w:rPr>
          <w:rFonts w:hint="eastAsia" w:ascii="仿宋" w:hAnsi="仿宋" w:eastAsia="仿宋"/>
          <w:bCs/>
          <w:sz w:val="32"/>
          <w:szCs w:val="32"/>
        </w:rPr>
        <w:t>各项项目产出成本，均按照项目预算金额进行执行，严格按照项目资金管理办法规定，实行专款专用。</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widowControl/>
        <w:spacing w:line="360" w:lineRule="auto"/>
        <w:ind w:firstLine="640" w:firstLineChars="200"/>
        <w:rPr>
          <w:rFonts w:ascii="仿宋" w:hAnsi="仿宋" w:eastAsia="仿宋"/>
          <w:bCs/>
          <w:sz w:val="32"/>
          <w:szCs w:val="32"/>
        </w:rPr>
      </w:pPr>
      <w:r>
        <w:rPr>
          <w:rFonts w:hint="eastAsia" w:ascii="仿宋" w:hAnsi="仿宋" w:eastAsia="仿宋"/>
          <w:bCs/>
          <w:sz w:val="32"/>
          <w:szCs w:val="32"/>
        </w:rPr>
        <w:t>各项目的</w:t>
      </w:r>
      <w:r>
        <w:rPr>
          <w:rFonts w:ascii="仿宋" w:hAnsi="仿宋" w:eastAsia="仿宋"/>
          <w:bCs/>
          <w:sz w:val="32"/>
          <w:szCs w:val="32"/>
        </w:rPr>
        <w:t>经济效益</w:t>
      </w:r>
      <w:r>
        <w:rPr>
          <w:rFonts w:hint="eastAsia" w:ascii="仿宋" w:hAnsi="仿宋" w:eastAsia="仿宋"/>
          <w:bCs/>
          <w:sz w:val="32"/>
          <w:szCs w:val="32"/>
        </w:rPr>
        <w:t>主要是</w:t>
      </w:r>
      <w:r>
        <w:rPr>
          <w:rFonts w:ascii="仿宋" w:hAnsi="仿宋" w:eastAsia="仿宋"/>
          <w:bCs/>
          <w:sz w:val="32"/>
          <w:szCs w:val="32"/>
        </w:rPr>
        <w:t>促进地方经济发展、促进社会进步</w:t>
      </w:r>
      <w:r>
        <w:rPr>
          <w:rFonts w:hint="eastAsia" w:ascii="仿宋" w:hAnsi="仿宋" w:eastAsia="仿宋"/>
          <w:bCs/>
          <w:sz w:val="32"/>
          <w:szCs w:val="32"/>
        </w:rPr>
        <w:t>。如民生家园项目，主要开展环境卫生管理</w:t>
      </w:r>
      <w:r>
        <w:rPr>
          <w:rFonts w:hint="eastAsia" w:ascii="仿宋" w:hAnsi="仿宋" w:eastAsia="仿宋"/>
          <w:bCs/>
          <w:sz w:val="32"/>
          <w:szCs w:val="32"/>
          <w:lang w:eastAsia="zh-CN"/>
        </w:rPr>
        <w:t>，</w:t>
      </w:r>
      <w:r>
        <w:rPr>
          <w:rFonts w:hint="eastAsia" w:ascii="仿宋" w:hAnsi="仿宋" w:eastAsia="仿宋"/>
          <w:bCs/>
          <w:sz w:val="32"/>
          <w:szCs w:val="32"/>
        </w:rPr>
        <w:t>营造干净、整洁、有序的卫生环境</w:t>
      </w:r>
      <w:r>
        <w:rPr>
          <w:rFonts w:hint="eastAsia" w:ascii="仿宋" w:hAnsi="仿宋" w:eastAsia="仿宋"/>
          <w:bCs/>
          <w:sz w:val="32"/>
          <w:szCs w:val="32"/>
          <w:lang w:eastAsia="zh-CN"/>
        </w:rPr>
        <w:t>，</w:t>
      </w:r>
      <w:r>
        <w:rPr>
          <w:rFonts w:hint="eastAsia" w:ascii="仿宋" w:hAnsi="仿宋" w:eastAsia="仿宋"/>
          <w:bCs/>
          <w:sz w:val="32"/>
          <w:szCs w:val="32"/>
        </w:rPr>
        <w:t>做好12345、网格案件及环境提升等应急保障，</w:t>
      </w:r>
      <w:r>
        <w:rPr>
          <w:rFonts w:ascii="仿宋" w:hAnsi="仿宋" w:eastAsia="仿宋"/>
          <w:bCs/>
          <w:sz w:val="32"/>
          <w:szCs w:val="32"/>
        </w:rPr>
        <w:t>对</w:t>
      </w:r>
      <w:r>
        <w:rPr>
          <w:rFonts w:hint="eastAsia" w:ascii="仿宋" w:hAnsi="仿宋" w:eastAsia="仿宋"/>
          <w:bCs/>
          <w:sz w:val="32"/>
          <w:szCs w:val="32"/>
        </w:rPr>
        <w:t>辖区</w:t>
      </w:r>
      <w:r>
        <w:rPr>
          <w:rFonts w:hint="eastAsia" w:ascii="仿宋" w:hAnsi="仿宋" w:eastAsia="仿宋"/>
          <w:bCs/>
          <w:sz w:val="32"/>
          <w:szCs w:val="32"/>
          <w:lang w:eastAsia="zh-CN"/>
        </w:rPr>
        <w:t>经济</w:t>
      </w:r>
      <w:r>
        <w:rPr>
          <w:rFonts w:hint="eastAsia" w:ascii="仿宋" w:hAnsi="仿宋" w:eastAsia="仿宋"/>
          <w:bCs/>
          <w:sz w:val="32"/>
          <w:szCs w:val="32"/>
        </w:rPr>
        <w:t>发展起到了</w:t>
      </w:r>
      <w:r>
        <w:rPr>
          <w:rFonts w:ascii="仿宋" w:hAnsi="仿宋" w:eastAsia="仿宋"/>
          <w:bCs/>
          <w:sz w:val="32"/>
          <w:szCs w:val="32"/>
        </w:rPr>
        <w:t>带动作用、对同行业的引导、就业等方面</w:t>
      </w:r>
      <w:r>
        <w:rPr>
          <w:rFonts w:hint="eastAsia" w:ascii="仿宋" w:hAnsi="仿宋" w:eastAsia="仿宋"/>
          <w:bCs/>
          <w:sz w:val="32"/>
          <w:szCs w:val="32"/>
        </w:rPr>
        <w:t>也有进一步提升</w:t>
      </w:r>
      <w:r>
        <w:rPr>
          <w:rFonts w:ascii="仿宋" w:hAnsi="仿宋" w:eastAsia="仿宋"/>
          <w:bCs/>
          <w:sz w:val="32"/>
          <w:szCs w:val="32"/>
        </w:rPr>
        <w:t>。</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各项目的完成在</w:t>
      </w:r>
      <w:r>
        <w:rPr>
          <w:rFonts w:ascii="仿宋" w:hAnsi="仿宋" w:eastAsia="仿宋"/>
          <w:bCs/>
          <w:sz w:val="32"/>
          <w:szCs w:val="32"/>
        </w:rPr>
        <w:t>社会效益</w:t>
      </w:r>
      <w:r>
        <w:rPr>
          <w:rFonts w:hint="eastAsia" w:ascii="仿宋" w:hAnsi="仿宋" w:eastAsia="仿宋"/>
          <w:bCs/>
          <w:sz w:val="32"/>
          <w:szCs w:val="32"/>
        </w:rPr>
        <w:t>方面，力求实现辖区的平稳安全，提高了人民生活水平</w:t>
      </w:r>
      <w:r>
        <w:rPr>
          <w:rFonts w:hint="eastAsia" w:ascii="仿宋" w:hAnsi="仿宋" w:eastAsia="仿宋"/>
          <w:bCs/>
          <w:sz w:val="32"/>
          <w:szCs w:val="32"/>
          <w:lang w:eastAsia="zh-CN"/>
        </w:rPr>
        <w:t>和幸福指数</w:t>
      </w:r>
      <w:r>
        <w:rPr>
          <w:rFonts w:hint="eastAsia" w:ascii="仿宋" w:hAnsi="仿宋" w:eastAsia="仿宋"/>
          <w:bCs/>
          <w:sz w:val="32"/>
          <w:szCs w:val="32"/>
        </w:rPr>
        <w:t>。例如2024年街道系统共商共治-左家庄新源南里社区首汽家属院全景楼院打造</w:t>
      </w:r>
      <w:r>
        <w:rPr>
          <w:rFonts w:hint="eastAsia" w:ascii="仿宋" w:hAnsi="仿宋" w:eastAsia="仿宋"/>
          <w:bCs/>
          <w:sz w:val="32"/>
          <w:szCs w:val="32"/>
          <w:lang w:eastAsia="zh-CN"/>
        </w:rPr>
        <w:t>项目</w:t>
      </w:r>
      <w:r>
        <w:rPr>
          <w:rFonts w:hint="eastAsia" w:ascii="仿宋" w:hAnsi="仿宋" w:eastAsia="仿宋"/>
          <w:bCs/>
          <w:sz w:val="32"/>
          <w:szCs w:val="32"/>
        </w:rPr>
        <w:t>，首汽家属院建于上世纪80年代，小院包含三座塔楼，因物业管理不足，存在院内乱停车、有积水点、老人活动场所等一系列问题，居民改善院内环境意愿强烈,12345投诉问题</w:t>
      </w:r>
      <w:r>
        <w:rPr>
          <w:rFonts w:hint="eastAsia" w:ascii="仿宋" w:hAnsi="仿宋" w:eastAsia="仿宋"/>
          <w:bCs/>
          <w:sz w:val="32"/>
          <w:szCs w:val="32"/>
          <w:lang w:eastAsia="zh-CN"/>
        </w:rPr>
        <w:t>较多</w:t>
      </w:r>
      <w:r>
        <w:rPr>
          <w:rFonts w:hint="eastAsia" w:ascii="仿宋" w:hAnsi="仿宋" w:eastAsia="仿宋"/>
          <w:bCs/>
          <w:sz w:val="32"/>
          <w:szCs w:val="32"/>
        </w:rPr>
        <w:t>。该项目的实施大力改善小区居民居住环境</w:t>
      </w:r>
      <w:r>
        <w:rPr>
          <w:rFonts w:hint="eastAsia" w:ascii="仿宋" w:hAnsi="仿宋" w:eastAsia="仿宋"/>
          <w:bCs/>
          <w:sz w:val="32"/>
          <w:szCs w:val="32"/>
          <w:lang w:eastAsia="zh-CN"/>
        </w:rPr>
        <w:t>，</w:t>
      </w:r>
      <w:r>
        <w:rPr>
          <w:rFonts w:hint="eastAsia" w:ascii="仿宋" w:hAnsi="仿宋" w:eastAsia="仿宋"/>
          <w:bCs/>
          <w:sz w:val="32"/>
          <w:szCs w:val="32"/>
        </w:rPr>
        <w:t>满足社区居民需求</w:t>
      </w:r>
      <w:r>
        <w:rPr>
          <w:rFonts w:hint="eastAsia" w:ascii="仿宋" w:hAnsi="仿宋" w:eastAsia="仿宋"/>
          <w:bCs/>
          <w:sz w:val="32"/>
          <w:szCs w:val="32"/>
          <w:lang w:eastAsia="zh-CN"/>
        </w:rPr>
        <w:t>，</w:t>
      </w:r>
      <w:r>
        <w:rPr>
          <w:rFonts w:hint="eastAsia" w:ascii="仿宋" w:hAnsi="仿宋" w:eastAsia="仿宋"/>
          <w:bCs/>
          <w:sz w:val="32"/>
          <w:szCs w:val="32"/>
        </w:rPr>
        <w:t>引导居民自治，减少问题反馈，整体社会效应明显。</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部分项目的完成在环境</w:t>
      </w:r>
      <w:r>
        <w:rPr>
          <w:rFonts w:ascii="仿宋" w:hAnsi="仿宋" w:eastAsia="仿宋"/>
          <w:bCs/>
          <w:sz w:val="32"/>
          <w:szCs w:val="32"/>
        </w:rPr>
        <w:t>效益</w:t>
      </w:r>
      <w:r>
        <w:rPr>
          <w:rFonts w:hint="eastAsia" w:ascii="仿宋" w:hAnsi="仿宋" w:eastAsia="仿宋"/>
          <w:bCs/>
          <w:sz w:val="32"/>
          <w:szCs w:val="32"/>
        </w:rPr>
        <w:t>方面，效果较为明显</w:t>
      </w:r>
      <w:r>
        <w:rPr>
          <w:rFonts w:ascii="仿宋" w:hAnsi="仿宋" w:eastAsia="仿宋"/>
          <w:bCs/>
          <w:sz w:val="32"/>
          <w:szCs w:val="32"/>
        </w:rPr>
        <w:t>。</w:t>
      </w:r>
      <w:r>
        <w:rPr>
          <w:rFonts w:hint="eastAsia" w:ascii="仿宋" w:hAnsi="仿宋" w:eastAsia="仿宋"/>
          <w:bCs/>
          <w:sz w:val="32"/>
          <w:szCs w:val="32"/>
        </w:rPr>
        <w:t>例如基本事业费</w:t>
      </w:r>
      <w:r>
        <w:rPr>
          <w:rFonts w:hint="eastAsia" w:ascii="仿宋" w:hAnsi="仿宋" w:eastAsia="仿宋"/>
          <w:bCs/>
          <w:sz w:val="32"/>
          <w:szCs w:val="32"/>
          <w:lang w:eastAsia="zh-CN"/>
        </w:rPr>
        <w:t>（自管）</w:t>
      </w:r>
      <w:r>
        <w:rPr>
          <w:rFonts w:hint="eastAsia" w:ascii="仿宋" w:hAnsi="仿宋" w:eastAsia="仿宋"/>
          <w:bCs/>
          <w:sz w:val="32"/>
          <w:szCs w:val="32"/>
        </w:rPr>
        <w:t>，项目内容主要是进行日常保洁管理，绿化养护，保持辖区整体绿化</w:t>
      </w:r>
      <w:r>
        <w:rPr>
          <w:rFonts w:hint="eastAsia" w:ascii="仿宋" w:hAnsi="仿宋" w:eastAsia="仿宋"/>
          <w:bCs/>
          <w:sz w:val="32"/>
          <w:szCs w:val="32"/>
          <w:lang w:eastAsia="zh-CN"/>
        </w:rPr>
        <w:t>达标</w:t>
      </w:r>
      <w:r>
        <w:rPr>
          <w:rFonts w:hint="eastAsia" w:ascii="仿宋" w:hAnsi="仿宋" w:eastAsia="仿宋"/>
          <w:bCs/>
          <w:sz w:val="32"/>
          <w:szCs w:val="32"/>
        </w:rPr>
        <w:t>、环境整洁，</w:t>
      </w:r>
      <w:r>
        <w:rPr>
          <w:rFonts w:hint="eastAsia" w:ascii="仿宋" w:hAnsi="仿宋" w:eastAsia="仿宋"/>
          <w:bCs/>
          <w:sz w:val="32"/>
          <w:szCs w:val="32"/>
          <w:lang w:eastAsia="zh-CN"/>
        </w:rPr>
        <w:t>持续</w:t>
      </w:r>
      <w:r>
        <w:rPr>
          <w:rFonts w:hint="eastAsia" w:ascii="仿宋" w:hAnsi="仿宋" w:eastAsia="仿宋"/>
          <w:bCs/>
          <w:sz w:val="32"/>
          <w:szCs w:val="32"/>
        </w:rPr>
        <w:t>优化了辖区生活环境，</w:t>
      </w:r>
      <w:r>
        <w:rPr>
          <w:rFonts w:hint="eastAsia" w:ascii="仿宋" w:hAnsi="仿宋" w:eastAsia="仿宋"/>
          <w:bCs/>
          <w:sz w:val="32"/>
          <w:szCs w:val="32"/>
          <w:lang w:eastAsia="zh-CN"/>
        </w:rPr>
        <w:t>稳步</w:t>
      </w:r>
      <w:r>
        <w:rPr>
          <w:rFonts w:hint="eastAsia" w:ascii="仿宋" w:hAnsi="仿宋" w:eastAsia="仿宋"/>
          <w:bCs/>
          <w:sz w:val="32"/>
          <w:szCs w:val="32"/>
        </w:rPr>
        <w:t>提升辖区</w:t>
      </w:r>
      <w:r>
        <w:rPr>
          <w:rFonts w:hint="eastAsia" w:ascii="仿宋" w:hAnsi="仿宋" w:eastAsia="仿宋"/>
          <w:bCs/>
          <w:sz w:val="32"/>
          <w:szCs w:val="32"/>
          <w:lang w:eastAsia="zh-CN"/>
        </w:rPr>
        <w:t>居民生活环境</w:t>
      </w:r>
      <w:r>
        <w:rPr>
          <w:rFonts w:hint="eastAsia" w:ascii="仿宋" w:hAnsi="仿宋" w:eastAsia="仿宋"/>
          <w:bCs/>
          <w:sz w:val="32"/>
          <w:szCs w:val="32"/>
        </w:rPr>
        <w:t>。</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各项目的执行，都是以自然的、社会的、生态的、经济的为原则，确保环境质量和状态稳定、减少项目对环境产生的压力、全程衡量环境政策的实施状态，确保可持续发展。</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各项目的执行，主要是要求代表最广大人民群众的根本利益，为经济、社会发展服务。深入了解民意，贴近群众感受，真正做到项目为民所用、利益为民所谋。</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ind w:firstLine="640" w:firstLineChars="200"/>
        <w:rPr>
          <w:rFonts w:ascii="仿宋" w:hAnsi="仿宋" w:eastAsia="仿宋"/>
          <w:bCs/>
          <w:sz w:val="32"/>
          <w:szCs w:val="32"/>
        </w:rPr>
      </w:pPr>
      <w:r>
        <w:rPr>
          <w:rFonts w:hint="eastAsia" w:ascii="仿宋" w:hAnsi="仿宋" w:eastAsia="仿宋"/>
          <w:bCs/>
          <w:sz w:val="32"/>
          <w:szCs w:val="32"/>
        </w:rPr>
        <w:t>区财政根据我单位上报用款计划下拨资金，我单位主管科室根据实际工作情况进行授权零余额支出。加强财务管理，提高资金使用效益。严格按照项目资金管理办法规定，实行专款专用。建立健全项目资金审查审批程序和财务制度，资金的使用务必符合资金管理办法规定。</w:t>
      </w:r>
    </w:p>
    <w:p>
      <w:pPr>
        <w:ind w:firstLine="640" w:firstLineChars="200"/>
        <w:rPr>
          <w:rFonts w:ascii="仿宋" w:hAnsi="仿宋" w:eastAsia="仿宋"/>
          <w:bCs/>
          <w:sz w:val="32"/>
          <w:szCs w:val="32"/>
        </w:rPr>
      </w:pPr>
      <w:r>
        <w:rPr>
          <w:rFonts w:hint="eastAsia" w:ascii="仿宋" w:hAnsi="仿宋" w:eastAsia="仿宋"/>
          <w:bCs/>
          <w:sz w:val="32"/>
          <w:szCs w:val="32"/>
        </w:rPr>
        <w:t xml:space="preserve">预算执行按每个项目制定实施方案，明确工作目标、推进路径、时间节点，落实专人负责、全程跟踪和分类管理，确保项目推进全程有书面记录，经费使用有明细，实施过程有督促检查，项目结束后有总结评估，形成完整的项目管理台账。      </w:t>
      </w:r>
    </w:p>
    <w:p>
      <w:pPr>
        <w:ind w:firstLine="640" w:firstLineChars="200"/>
        <w:rPr>
          <w:rFonts w:ascii="仿宋" w:hAnsi="仿宋" w:eastAsia="仿宋"/>
          <w:bCs/>
          <w:sz w:val="32"/>
          <w:szCs w:val="32"/>
        </w:rPr>
      </w:pPr>
      <w:r>
        <w:rPr>
          <w:rFonts w:hint="eastAsia" w:ascii="仿宋" w:hAnsi="仿宋" w:eastAsia="仿宋"/>
          <w:bCs/>
          <w:sz w:val="32"/>
          <w:szCs w:val="32"/>
        </w:rPr>
        <w:t>加强项目监督管理。在资金使用过程中，严格控制项目资金的支出范围，杜绝不符合规定的支出。加强对项目资金的监督检查，实行事前、事中和事后的全程监督管理，接受审计部门对项目资金的审计监督。</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本次绩效自评总体来说，大多数项目均按照计划进行实施，执行率为100%，得分均为100分。部分项目存在一些特殊情况，</w:t>
      </w:r>
      <w:r>
        <w:rPr>
          <w:rFonts w:hint="eastAsia" w:ascii="仿宋" w:hAnsi="仿宋" w:eastAsia="仿宋"/>
          <w:bCs/>
          <w:sz w:val="32"/>
          <w:szCs w:val="32"/>
          <w:lang w:eastAsia="zh-CN"/>
        </w:rPr>
        <w:t>比如责任规划师劳务费项目，年初预算</w:t>
      </w:r>
      <w:r>
        <w:rPr>
          <w:rFonts w:hint="eastAsia" w:ascii="仿宋" w:hAnsi="仿宋" w:eastAsia="仿宋"/>
          <w:bCs/>
          <w:sz w:val="32"/>
          <w:szCs w:val="32"/>
          <w:lang w:val="en-US" w:eastAsia="zh-CN"/>
        </w:rPr>
        <w:t>28万元，年中因财政绩效考评核减预算为22.4万元，年末实际支付22.4万元，与年初绩效表中经济成本指标预定等于28万元出现差异，</w:t>
      </w:r>
      <w:r>
        <w:rPr>
          <w:rFonts w:hint="eastAsia" w:ascii="仿宋" w:hAnsi="仿宋" w:eastAsia="仿宋"/>
          <w:bCs/>
          <w:sz w:val="32"/>
          <w:szCs w:val="32"/>
          <w:lang w:eastAsia="zh-CN"/>
        </w:rPr>
        <w:t>执行率无法达到</w:t>
      </w:r>
      <w:r>
        <w:rPr>
          <w:rFonts w:hint="eastAsia" w:ascii="仿宋" w:hAnsi="仿宋" w:eastAsia="仿宋"/>
          <w:bCs/>
          <w:sz w:val="32"/>
          <w:szCs w:val="32"/>
          <w:lang w:val="en-US" w:eastAsia="zh-CN"/>
        </w:rPr>
        <w:t>100%。</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pPr>
        <w:ind w:firstLine="640" w:firstLineChars="200"/>
        <w:rPr>
          <w:rFonts w:ascii="仿宋" w:hAnsi="仿宋" w:eastAsia="仿宋"/>
          <w:bCs/>
          <w:sz w:val="32"/>
          <w:szCs w:val="32"/>
        </w:rPr>
      </w:pPr>
      <w:r>
        <w:rPr>
          <w:rFonts w:hint="eastAsia" w:ascii="仿宋" w:hAnsi="仿宋" w:eastAsia="仿宋"/>
          <w:bCs/>
          <w:sz w:val="32"/>
          <w:szCs w:val="32"/>
        </w:rPr>
        <w:t>从本次绩效跟踪评价的总体分析来看，大多数项目运行正常或基本正常，表明多数项目投入环节操作规范、依据明确，过程环节管理严密有效，产出环节能够按时完成计划，但部分项目运行过程中仍存在一些问题。部分项目的预算执行准确性不高。究其原因，部分项目由于审批程序复杂，等待时间较长，进而影响了项目进度执行。部分项目的过程管理需进一步优化，工作实施方案不够细致，需要编制更为详细的实施方案以及加强合同管理方面的具体实施细则。</w:t>
      </w:r>
    </w:p>
    <w:p>
      <w:pPr>
        <w:spacing w:line="60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ind w:firstLine="640" w:firstLineChars="200"/>
        <w:rPr>
          <w:rFonts w:ascii="仿宋" w:hAnsi="仿宋" w:eastAsia="仿宋"/>
          <w:bCs/>
          <w:sz w:val="32"/>
          <w:szCs w:val="32"/>
        </w:rPr>
      </w:pPr>
      <w:r>
        <w:rPr>
          <w:rFonts w:hint="eastAsia" w:ascii="仿宋" w:hAnsi="仿宋" w:eastAsia="仿宋"/>
          <w:bCs/>
          <w:sz w:val="32"/>
          <w:szCs w:val="32"/>
        </w:rPr>
        <w:t>1、加强项目的投入管理，部分项目的过程管理需进一步优化，需要编制更为详细的实施方案以及加强合同管理方面的具体实施细则。</w:t>
      </w:r>
    </w:p>
    <w:p>
      <w:pPr>
        <w:ind w:firstLine="640" w:firstLineChars="200"/>
        <w:rPr>
          <w:rFonts w:ascii="仿宋" w:hAnsi="仿宋" w:eastAsia="仿宋"/>
          <w:bCs/>
          <w:sz w:val="32"/>
          <w:szCs w:val="32"/>
        </w:rPr>
      </w:pPr>
      <w:r>
        <w:rPr>
          <w:rFonts w:hint="eastAsia" w:ascii="仿宋" w:hAnsi="仿宋" w:eastAsia="仿宋"/>
          <w:bCs/>
          <w:sz w:val="32"/>
          <w:szCs w:val="32"/>
        </w:rPr>
        <w:t>2、提高项目的预算执行准确性。</w:t>
      </w:r>
      <w:r>
        <w:rPr>
          <w:rFonts w:hint="eastAsia" w:ascii="仿宋" w:hAnsi="仿宋" w:eastAsia="仿宋"/>
          <w:bCs/>
          <w:sz w:val="32"/>
          <w:szCs w:val="32"/>
          <w:lang w:eastAsia="zh-CN"/>
        </w:rPr>
        <w:t>从精细化</w:t>
      </w:r>
      <w:r>
        <w:rPr>
          <w:rFonts w:hint="eastAsia" w:ascii="仿宋" w:hAnsi="仿宋" w:eastAsia="仿宋"/>
          <w:bCs/>
          <w:sz w:val="32"/>
          <w:szCs w:val="32"/>
        </w:rPr>
        <w:t>预算编制、</w:t>
      </w:r>
      <w:r>
        <w:rPr>
          <w:rFonts w:hint="eastAsia" w:ascii="仿宋" w:hAnsi="仿宋" w:eastAsia="仿宋"/>
          <w:bCs/>
          <w:sz w:val="32"/>
          <w:szCs w:val="32"/>
          <w:lang w:eastAsia="zh-CN"/>
        </w:rPr>
        <w:t>加强</w:t>
      </w:r>
      <w:r>
        <w:rPr>
          <w:rFonts w:hint="eastAsia" w:ascii="仿宋" w:hAnsi="仿宋" w:eastAsia="仿宋"/>
          <w:bCs/>
          <w:sz w:val="32"/>
          <w:szCs w:val="32"/>
        </w:rPr>
        <w:t>执行监控、</w:t>
      </w:r>
      <w:r>
        <w:rPr>
          <w:rFonts w:hint="eastAsia" w:ascii="仿宋" w:hAnsi="仿宋" w:eastAsia="仿宋"/>
          <w:bCs/>
          <w:sz w:val="32"/>
          <w:szCs w:val="32"/>
          <w:lang w:eastAsia="zh-CN"/>
        </w:rPr>
        <w:t>零活</w:t>
      </w:r>
      <w:r>
        <w:rPr>
          <w:rFonts w:hint="eastAsia" w:ascii="仿宋" w:hAnsi="仿宋" w:eastAsia="仿宋"/>
          <w:bCs/>
          <w:sz w:val="32"/>
          <w:szCs w:val="32"/>
        </w:rPr>
        <w:t>调整优化</w:t>
      </w:r>
      <w:r>
        <w:rPr>
          <w:rFonts w:hint="eastAsia" w:ascii="仿宋" w:hAnsi="仿宋" w:eastAsia="仿宋"/>
          <w:bCs/>
          <w:sz w:val="32"/>
          <w:szCs w:val="32"/>
          <w:lang w:eastAsia="zh-CN"/>
        </w:rPr>
        <w:t>、强化分析和考核</w:t>
      </w:r>
      <w:r>
        <w:rPr>
          <w:rFonts w:hint="eastAsia" w:ascii="仿宋" w:hAnsi="仿宋" w:eastAsia="仿宋"/>
          <w:bCs/>
          <w:sz w:val="32"/>
          <w:szCs w:val="32"/>
        </w:rPr>
        <w:t>等多个环节入手</w:t>
      </w:r>
      <w:r>
        <w:rPr>
          <w:rFonts w:hint="eastAsia" w:ascii="仿宋" w:hAnsi="仿宋" w:eastAsia="仿宋"/>
          <w:bCs/>
          <w:sz w:val="32"/>
          <w:szCs w:val="32"/>
          <w:lang w:eastAsia="zh-CN"/>
        </w:rPr>
        <w:t>，</w:t>
      </w:r>
      <w:r>
        <w:rPr>
          <w:rFonts w:hint="eastAsia" w:ascii="仿宋" w:hAnsi="仿宋" w:eastAsia="仿宋"/>
          <w:bCs/>
          <w:sz w:val="32"/>
          <w:szCs w:val="32"/>
        </w:rPr>
        <w:t>有效提升预算执行的准确性，确保预算管理的有效性和灵活性，从而推动财务目标的实现。</w:t>
      </w:r>
    </w:p>
    <w:p>
      <w:pPr>
        <w:ind w:firstLine="640" w:firstLineChars="200"/>
        <w:rPr>
          <w:rFonts w:ascii="仿宋" w:hAnsi="仿宋" w:eastAsia="仿宋"/>
          <w:bCs/>
          <w:sz w:val="32"/>
          <w:szCs w:val="32"/>
        </w:rPr>
      </w:pPr>
      <w:r>
        <w:rPr>
          <w:rFonts w:hint="eastAsia" w:ascii="仿宋" w:hAnsi="仿宋" w:eastAsia="仿宋"/>
          <w:bCs/>
          <w:sz w:val="32"/>
          <w:szCs w:val="32"/>
        </w:rPr>
        <w:t>3、注重提升项目的产出绩效</w:t>
      </w:r>
      <w:r>
        <w:rPr>
          <w:rFonts w:hint="eastAsia" w:ascii="仿宋" w:hAnsi="仿宋" w:eastAsia="仿宋"/>
          <w:bCs/>
          <w:sz w:val="32"/>
          <w:szCs w:val="32"/>
          <w:lang w:eastAsia="zh-CN"/>
        </w:rPr>
        <w:t>，在项目质量和时效指标上多下功夫。需要从目标设定、流程优化、资源管理、风险控制、监控反馈和持续改进等多个方面进行加强，确保覆盖项目各个阶段和潜在问题点，全面提升项目产出绩效。</w:t>
      </w:r>
    </w:p>
    <w:p>
      <w:pPr>
        <w:spacing w:line="600" w:lineRule="exact"/>
        <w:ind w:firstLine="640" w:firstLineChars="200"/>
        <w:rPr>
          <w:rFonts w:ascii="仿宋_GB2312" w:hAnsi="宋体" w:eastAsia="仿宋_GB2312" w:cs="宋体"/>
          <w:color w:val="000000"/>
          <w:kern w:val="0"/>
          <w:sz w:val="32"/>
          <w:szCs w:val="32"/>
        </w:rPr>
      </w:pPr>
    </w:p>
    <w:p>
      <w:pPr>
        <w:ind w:firstLine="640" w:firstLineChars="200"/>
        <w:jc w:val="right"/>
        <w:rPr>
          <w:rFonts w:ascii="仿宋" w:hAnsi="仿宋" w:eastAsia="仿宋"/>
          <w:bCs/>
          <w:sz w:val="32"/>
          <w:szCs w:val="32"/>
        </w:rPr>
      </w:pPr>
      <w:r>
        <w:rPr>
          <w:rFonts w:hint="eastAsia" w:ascii="仿宋" w:hAnsi="仿宋" w:eastAsia="仿宋"/>
          <w:bCs/>
          <w:sz w:val="32"/>
          <w:szCs w:val="32"/>
        </w:rPr>
        <w:t xml:space="preserve">北京市朝阳区人民政府左家庄街道办事处 </w:t>
      </w:r>
    </w:p>
    <w:p>
      <w:pPr>
        <w:ind w:firstLine="640" w:firstLineChars="200"/>
        <w:rPr>
          <w:rFonts w:ascii="仿宋" w:hAnsi="仿宋" w:eastAsia="仿宋"/>
          <w:bCs/>
          <w:sz w:val="32"/>
          <w:szCs w:val="32"/>
        </w:rPr>
      </w:pPr>
      <w:r>
        <w:rPr>
          <w:rFonts w:hint="eastAsia" w:ascii="仿宋" w:hAnsi="仿宋" w:eastAsia="仿宋"/>
          <w:bCs/>
          <w:sz w:val="32"/>
          <w:szCs w:val="32"/>
        </w:rPr>
        <w:t xml:space="preserve">                         202</w:t>
      </w:r>
      <w:r>
        <w:rPr>
          <w:rFonts w:hint="eastAsia" w:ascii="仿宋" w:hAnsi="仿宋" w:eastAsia="仿宋"/>
          <w:bCs/>
          <w:sz w:val="32"/>
          <w:szCs w:val="32"/>
          <w:lang w:val="en-US" w:eastAsia="zh-CN"/>
        </w:rPr>
        <w:t>5</w:t>
      </w:r>
      <w:r>
        <w:rPr>
          <w:rFonts w:hint="eastAsia" w:ascii="仿宋" w:hAnsi="仿宋" w:eastAsia="仿宋"/>
          <w:bCs/>
          <w:sz w:val="32"/>
          <w:szCs w:val="32"/>
        </w:rPr>
        <w:t>年2月</w:t>
      </w:r>
      <w:r>
        <w:rPr>
          <w:rFonts w:hint="eastAsia" w:ascii="仿宋" w:hAnsi="仿宋" w:eastAsia="仿宋"/>
          <w:bCs/>
          <w:sz w:val="32"/>
          <w:szCs w:val="32"/>
          <w:lang w:val="en-US" w:eastAsia="zh-CN"/>
        </w:rPr>
        <w:t>8</w:t>
      </w:r>
      <w:r>
        <w:rPr>
          <w:rFonts w:hint="eastAsia" w:ascii="仿宋" w:hAnsi="仿宋" w:eastAsia="仿宋"/>
          <w:bCs/>
          <w:sz w:val="32"/>
          <w:szCs w:val="32"/>
        </w:rPr>
        <w:t>日</w:t>
      </w:r>
    </w:p>
    <w:p>
      <w:pPr>
        <w:ind w:firstLine="640" w:firstLineChars="200"/>
        <w:rPr>
          <w:rFonts w:ascii="仿宋" w:hAnsi="仿宋" w:eastAsia="仿宋"/>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decorative"/>
    <w:pitch w:val="default"/>
    <w:sig w:usb0="00000000" w:usb1="00000000" w:usb2="00000000" w:usb3="00000000" w:csb0="00040000" w:csb1="00000000"/>
  </w:font>
  <w:font w:name="楷体_GB2312">
    <w:altName w:val="楷体"/>
    <w:panose1 w:val="00000000000000000000"/>
    <w:charset w:val="86"/>
    <w:family w:val="decorative"/>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C67CC"/>
    <w:multiLevelType w:val="multilevel"/>
    <w:tmpl w:val="5D9C67CC"/>
    <w:lvl w:ilvl="0" w:tentative="0">
      <w:start w:val="1"/>
      <w:numFmt w:val="decimal"/>
      <w:lvlText w:val="%1."/>
      <w:lvlJc w:val="left"/>
      <w:pPr>
        <w:ind w:left="945" w:hanging="360"/>
      </w:pPr>
      <w:rPr>
        <w:rFonts w:hint="default"/>
      </w:rPr>
    </w:lvl>
    <w:lvl w:ilvl="1" w:tentative="0">
      <w:start w:val="1"/>
      <w:numFmt w:val="lowerLetter"/>
      <w:lvlText w:val="%2)"/>
      <w:lvlJc w:val="left"/>
      <w:pPr>
        <w:ind w:left="1425" w:hanging="420"/>
      </w:pPr>
    </w:lvl>
    <w:lvl w:ilvl="2" w:tentative="0">
      <w:start w:val="1"/>
      <w:numFmt w:val="lowerRoman"/>
      <w:lvlText w:val="%3."/>
      <w:lvlJc w:val="right"/>
      <w:pPr>
        <w:ind w:left="1845" w:hanging="420"/>
      </w:pPr>
    </w:lvl>
    <w:lvl w:ilvl="3" w:tentative="0">
      <w:start w:val="1"/>
      <w:numFmt w:val="decimal"/>
      <w:lvlText w:val="%4."/>
      <w:lvlJc w:val="left"/>
      <w:pPr>
        <w:ind w:left="2265" w:hanging="420"/>
      </w:pPr>
    </w:lvl>
    <w:lvl w:ilvl="4" w:tentative="0">
      <w:start w:val="1"/>
      <w:numFmt w:val="lowerLetter"/>
      <w:lvlText w:val="%5)"/>
      <w:lvlJc w:val="left"/>
      <w:pPr>
        <w:ind w:left="2685" w:hanging="420"/>
      </w:pPr>
    </w:lvl>
    <w:lvl w:ilvl="5" w:tentative="0">
      <w:start w:val="1"/>
      <w:numFmt w:val="lowerRoman"/>
      <w:lvlText w:val="%6."/>
      <w:lvlJc w:val="right"/>
      <w:pPr>
        <w:ind w:left="3105" w:hanging="420"/>
      </w:pPr>
    </w:lvl>
    <w:lvl w:ilvl="6" w:tentative="0">
      <w:start w:val="1"/>
      <w:numFmt w:val="decimal"/>
      <w:lvlText w:val="%7."/>
      <w:lvlJc w:val="left"/>
      <w:pPr>
        <w:ind w:left="3525" w:hanging="420"/>
      </w:pPr>
    </w:lvl>
    <w:lvl w:ilvl="7" w:tentative="0">
      <w:start w:val="1"/>
      <w:numFmt w:val="lowerLetter"/>
      <w:lvlText w:val="%8)"/>
      <w:lvlJc w:val="left"/>
      <w:pPr>
        <w:ind w:left="3945" w:hanging="420"/>
      </w:pPr>
    </w:lvl>
    <w:lvl w:ilvl="8" w:tentative="0">
      <w:start w:val="1"/>
      <w:numFmt w:val="lowerRoman"/>
      <w:lvlText w:val="%9."/>
      <w:lvlJc w:val="right"/>
      <w:pPr>
        <w:ind w:left="436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9BF12E6"/>
    <w:rsid w:val="00052936"/>
    <w:rsid w:val="00076314"/>
    <w:rsid w:val="00161243"/>
    <w:rsid w:val="001E0EAD"/>
    <w:rsid w:val="00210A2D"/>
    <w:rsid w:val="00244935"/>
    <w:rsid w:val="002A7707"/>
    <w:rsid w:val="00324138"/>
    <w:rsid w:val="004B4819"/>
    <w:rsid w:val="004C6077"/>
    <w:rsid w:val="00502410"/>
    <w:rsid w:val="005070E1"/>
    <w:rsid w:val="00550F47"/>
    <w:rsid w:val="00562EE3"/>
    <w:rsid w:val="00670DC2"/>
    <w:rsid w:val="006F7D46"/>
    <w:rsid w:val="007919CE"/>
    <w:rsid w:val="00792769"/>
    <w:rsid w:val="007A58DA"/>
    <w:rsid w:val="007A7E14"/>
    <w:rsid w:val="008E4D89"/>
    <w:rsid w:val="00977F3F"/>
    <w:rsid w:val="0098369D"/>
    <w:rsid w:val="009B3A16"/>
    <w:rsid w:val="00A32CEE"/>
    <w:rsid w:val="00BB285A"/>
    <w:rsid w:val="00BE5424"/>
    <w:rsid w:val="00E31D70"/>
    <w:rsid w:val="00F91B0A"/>
    <w:rsid w:val="01623BDB"/>
    <w:rsid w:val="017E2659"/>
    <w:rsid w:val="050F7514"/>
    <w:rsid w:val="130B2141"/>
    <w:rsid w:val="16106DC2"/>
    <w:rsid w:val="1EBB5E71"/>
    <w:rsid w:val="2D3307BF"/>
    <w:rsid w:val="2E0D155C"/>
    <w:rsid w:val="2E6768E0"/>
    <w:rsid w:val="3CFB2F45"/>
    <w:rsid w:val="422A5E08"/>
    <w:rsid w:val="4D9E39DF"/>
    <w:rsid w:val="4F767E04"/>
    <w:rsid w:val="4F7779A6"/>
    <w:rsid w:val="5280785E"/>
    <w:rsid w:val="55DC42B9"/>
    <w:rsid w:val="5CF86EA8"/>
    <w:rsid w:val="5E3D2A64"/>
    <w:rsid w:val="69BF12E6"/>
    <w:rsid w:val="69DA4835"/>
    <w:rsid w:val="740F54E2"/>
    <w:rsid w:val="76877DA6"/>
    <w:rsid w:val="775F5120"/>
    <w:rsid w:val="7A083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rFonts w:ascii="Times New Roman" w:hAnsi="Times New Roman" w:eastAsia="宋体" w:cs="Times New Roman"/>
      <w:kern w:val="2"/>
      <w:sz w:val="18"/>
      <w:szCs w:val="18"/>
    </w:rPr>
  </w:style>
  <w:style w:type="character" w:customStyle="1" w:styleId="7">
    <w:name w:val="页脚 Char"/>
    <w:basedOn w:val="4"/>
    <w:link w:val="2"/>
    <w:qFormat/>
    <w:uiPriority w:val="0"/>
    <w:rPr>
      <w:rFonts w:ascii="Times New Roman" w:hAnsi="Times New Roman" w:eastAsia="宋体" w:cs="Times New Roman"/>
      <w:kern w:val="2"/>
      <w:sz w:val="18"/>
      <w:szCs w:val="18"/>
    </w:rPr>
  </w:style>
  <w:style w:type="paragraph" w:customStyle="1"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372</Words>
  <Characters>2125</Characters>
  <Lines>17</Lines>
  <Paragraphs>4</Paragraphs>
  <ScaleCrop>false</ScaleCrop>
  <LinksUpToDate>false</LinksUpToDate>
  <CharactersWithSpaces>2493</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2023-01-11T09:12:00Z</dcterms:created>
  <dc:creator>Administrator</dc:creator>
  <cp:lastModifiedBy>Administrator</cp:lastModifiedBy>
  <cp:lastPrinted>2025-02-08T03:38:00Z</cp:lastPrinted>
  <dcterms:modified xsi:type="dcterms:W3CDTF">2025-09-05T02:33:48Z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